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5D" w:rsidRPr="00C156F0" w:rsidRDefault="005A334B">
      <w:pPr>
        <w:pStyle w:val="Tijeloteksta"/>
        <w:rPr>
          <w:sz w:val="22"/>
          <w:szCs w:val="22"/>
        </w:rPr>
      </w:pPr>
      <w:r w:rsidRPr="00C156F0">
        <w:rPr>
          <w:sz w:val="22"/>
          <w:szCs w:val="22"/>
        </w:rPr>
        <w:t>Temeljem članka 28.</w:t>
      </w:r>
      <w:r w:rsidR="000A515D" w:rsidRPr="00C156F0">
        <w:rPr>
          <w:sz w:val="22"/>
          <w:szCs w:val="22"/>
        </w:rPr>
        <w:t xml:space="preserve"> st. 1. Zakona o komunalnom gospodarstvu </w:t>
      </w:r>
      <w:r w:rsidR="00700A32" w:rsidRPr="00C156F0">
        <w:rPr>
          <w:sz w:val="22"/>
          <w:szCs w:val="22"/>
        </w:rPr>
        <w:t>(NN br. 36/95, 70/97, 128/99, 57/00, 129/00, 59/01, 26/03, 82/04, 110/04, 178/04, 38/09, 79/09</w:t>
      </w:r>
      <w:r w:rsidR="00E77914" w:rsidRPr="00C156F0">
        <w:rPr>
          <w:sz w:val="22"/>
          <w:szCs w:val="22"/>
        </w:rPr>
        <w:t xml:space="preserve">, 153/09, 49/11, 84/11, 90/11, </w:t>
      </w:r>
      <w:r w:rsidR="00700A32" w:rsidRPr="00C156F0">
        <w:rPr>
          <w:sz w:val="22"/>
          <w:szCs w:val="22"/>
        </w:rPr>
        <w:t>144/12</w:t>
      </w:r>
      <w:r w:rsidR="00A632F8">
        <w:rPr>
          <w:sz w:val="22"/>
          <w:szCs w:val="22"/>
        </w:rPr>
        <w:t xml:space="preserve">, </w:t>
      </w:r>
      <w:r w:rsidR="00E77914" w:rsidRPr="00C156F0">
        <w:rPr>
          <w:sz w:val="22"/>
          <w:szCs w:val="22"/>
        </w:rPr>
        <w:t>94/13</w:t>
      </w:r>
      <w:r w:rsidR="00092CA9">
        <w:rPr>
          <w:sz w:val="22"/>
          <w:szCs w:val="22"/>
        </w:rPr>
        <w:t>.</w:t>
      </w:r>
      <w:r w:rsidR="00A632F8">
        <w:rPr>
          <w:sz w:val="22"/>
          <w:szCs w:val="22"/>
        </w:rPr>
        <w:t xml:space="preserve"> i 153/13</w:t>
      </w:r>
      <w:r w:rsidR="00092CA9">
        <w:rPr>
          <w:sz w:val="22"/>
          <w:szCs w:val="22"/>
        </w:rPr>
        <w:t>.</w:t>
      </w:r>
      <w:r w:rsidR="003571F8" w:rsidRPr="00C156F0">
        <w:rPr>
          <w:sz w:val="22"/>
          <w:szCs w:val="22"/>
        </w:rPr>
        <w:t xml:space="preserve">) i čl. 36. Statuta Grada Preloga (Službeni glasnik Međimurske županije br. </w:t>
      </w:r>
      <w:r w:rsidR="00092CA9" w:rsidRPr="00EF3FE7">
        <w:rPr>
          <w:sz w:val="22"/>
          <w:szCs w:val="22"/>
        </w:rPr>
        <w:t>10/09, 26/10, 23/11</w:t>
      </w:r>
      <w:r w:rsidR="00092CA9">
        <w:rPr>
          <w:sz w:val="22"/>
          <w:szCs w:val="22"/>
        </w:rPr>
        <w:t>.</w:t>
      </w:r>
      <w:r w:rsidR="00092CA9" w:rsidRPr="00EF3FE7">
        <w:rPr>
          <w:sz w:val="22"/>
          <w:szCs w:val="22"/>
        </w:rPr>
        <w:t xml:space="preserve"> i 5/13</w:t>
      </w:r>
      <w:r w:rsidR="00092CA9">
        <w:rPr>
          <w:sz w:val="22"/>
          <w:szCs w:val="22"/>
        </w:rPr>
        <w:t>.</w:t>
      </w:r>
      <w:r w:rsidR="00092CA9" w:rsidRPr="00EF3FE7">
        <w:rPr>
          <w:sz w:val="22"/>
          <w:szCs w:val="22"/>
        </w:rPr>
        <w:t>),</w:t>
      </w:r>
      <w:r w:rsidR="003571F8" w:rsidRPr="00C156F0">
        <w:rPr>
          <w:sz w:val="22"/>
          <w:szCs w:val="22"/>
        </w:rPr>
        <w:t xml:space="preserve"> Gradsko vij</w:t>
      </w:r>
      <w:r w:rsidR="00440B09">
        <w:rPr>
          <w:sz w:val="22"/>
          <w:szCs w:val="22"/>
        </w:rPr>
        <w:t>eće Grada Preloga na svojoj 9.</w:t>
      </w:r>
      <w:r w:rsidR="003571F8" w:rsidRPr="00C156F0">
        <w:rPr>
          <w:sz w:val="22"/>
          <w:szCs w:val="22"/>
        </w:rPr>
        <w:t xml:space="preserve"> </w:t>
      </w:r>
      <w:r w:rsidR="00440B09">
        <w:rPr>
          <w:sz w:val="22"/>
          <w:szCs w:val="22"/>
        </w:rPr>
        <w:t>sjednici održanoj dana 27.11.2014.</w:t>
      </w:r>
      <w:r w:rsidR="003571F8" w:rsidRPr="00C156F0">
        <w:rPr>
          <w:sz w:val="22"/>
          <w:szCs w:val="22"/>
        </w:rPr>
        <w:t xml:space="preserve"> godine donosi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1F5A2A" w:rsidRDefault="001F5A2A" w:rsidP="00700A32">
      <w:pPr>
        <w:jc w:val="both"/>
        <w:rPr>
          <w:rFonts w:ascii="Arial" w:hAnsi="Arial" w:cs="Arial"/>
          <w:sz w:val="22"/>
          <w:szCs w:val="22"/>
        </w:rPr>
      </w:pPr>
    </w:p>
    <w:p w:rsidR="001F5A2A" w:rsidRPr="00C156F0" w:rsidRDefault="001F5A2A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Default="00B60C2C" w:rsidP="00700A32">
      <w:pPr>
        <w:pStyle w:val="Naslov1"/>
        <w:rPr>
          <w:shadow/>
        </w:rPr>
      </w:pPr>
      <w:r>
        <w:rPr>
          <w:shadow/>
        </w:rPr>
        <w:t>PROGRAM</w:t>
      </w:r>
    </w:p>
    <w:p w:rsidR="00700A32" w:rsidRPr="00C214EB" w:rsidRDefault="00700A32" w:rsidP="00700A32">
      <w:pPr>
        <w:jc w:val="center"/>
        <w:rPr>
          <w:rFonts w:ascii="Arial" w:hAnsi="Arial" w:cs="Arial"/>
          <w:b/>
          <w:caps/>
          <w:shadow/>
          <w:sz w:val="28"/>
          <w:szCs w:val="28"/>
        </w:rPr>
      </w:pPr>
      <w:r w:rsidRPr="00C214EB">
        <w:rPr>
          <w:rFonts w:ascii="Arial" w:hAnsi="Arial" w:cs="Arial"/>
          <w:b/>
          <w:caps/>
          <w:shadow/>
          <w:sz w:val="28"/>
          <w:szCs w:val="28"/>
        </w:rPr>
        <w:t>održavanja komunalne infrastrukture</w:t>
      </w:r>
    </w:p>
    <w:p w:rsidR="00700A32" w:rsidRDefault="00700A32" w:rsidP="00700A3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aps/>
          <w:shadow/>
          <w:sz w:val="28"/>
          <w:szCs w:val="28"/>
        </w:rPr>
        <w:t>u 201</w:t>
      </w:r>
      <w:r w:rsidR="00A632F8">
        <w:rPr>
          <w:rFonts w:ascii="Arial" w:hAnsi="Arial" w:cs="Arial"/>
          <w:b/>
          <w:caps/>
          <w:shadow/>
          <w:sz w:val="28"/>
          <w:szCs w:val="28"/>
        </w:rPr>
        <w:t>5</w:t>
      </w:r>
      <w:r w:rsidRPr="00C214EB">
        <w:rPr>
          <w:rFonts w:ascii="Arial" w:hAnsi="Arial" w:cs="Arial"/>
          <w:b/>
          <w:caps/>
          <w:shadow/>
          <w:sz w:val="28"/>
          <w:szCs w:val="28"/>
        </w:rPr>
        <w:t>. godini na području Grada Preloga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C156F0" w:rsidRDefault="00C156F0" w:rsidP="00700A32">
      <w:pPr>
        <w:jc w:val="both"/>
        <w:rPr>
          <w:rFonts w:ascii="Arial" w:hAnsi="Arial" w:cs="Arial"/>
          <w:sz w:val="22"/>
          <w:szCs w:val="22"/>
        </w:rPr>
      </w:pP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700A32" w:rsidRPr="00C156F0" w:rsidRDefault="00700A32" w:rsidP="00700A32">
      <w:pPr>
        <w:jc w:val="center"/>
        <w:rPr>
          <w:rFonts w:ascii="Arial" w:hAnsi="Arial" w:cs="Arial"/>
          <w:b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t>Članak 1.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Ovim Programom održavanja</w:t>
      </w:r>
      <w:r w:rsidR="004F2B83">
        <w:rPr>
          <w:rFonts w:ascii="Arial" w:hAnsi="Arial" w:cs="Arial"/>
          <w:sz w:val="22"/>
          <w:szCs w:val="22"/>
        </w:rPr>
        <w:t xml:space="preserve"> komunalne infrastrukture u 2015</w:t>
      </w:r>
      <w:r w:rsidRPr="00C156F0">
        <w:rPr>
          <w:rFonts w:ascii="Arial" w:hAnsi="Arial" w:cs="Arial"/>
          <w:sz w:val="22"/>
          <w:szCs w:val="22"/>
        </w:rPr>
        <w:t>. godini na području Grada Preloga određuje se održavanje</w:t>
      </w:r>
      <w:r w:rsidR="004F2B83">
        <w:rPr>
          <w:rFonts w:ascii="Arial" w:hAnsi="Arial" w:cs="Arial"/>
          <w:sz w:val="22"/>
          <w:szCs w:val="22"/>
        </w:rPr>
        <w:t xml:space="preserve"> komunalne infrastrukture u 2015</w:t>
      </w:r>
      <w:r w:rsidRPr="00C156F0">
        <w:rPr>
          <w:rFonts w:ascii="Arial" w:hAnsi="Arial" w:cs="Arial"/>
          <w:sz w:val="22"/>
          <w:szCs w:val="22"/>
        </w:rPr>
        <w:t>. godini za komunalne djelatnosti: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1. Odvodnja atmosferskih voda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2. Održavanje čistoće u dijelu koji se odnosi na čišćenje javnih površina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3. Održavanje javnih površina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4. Održavanje nerazvrstanih cesta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 xml:space="preserve">     5. Javna rasvjeta</w:t>
      </w: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Programom iz stavka 1. ovog članka utvrđuje se:</w:t>
      </w:r>
    </w:p>
    <w:p w:rsidR="00B60C2C" w:rsidRPr="00C156F0" w:rsidRDefault="00B60C2C" w:rsidP="00B60C2C">
      <w:pPr>
        <w:numPr>
          <w:ilvl w:val="0"/>
          <w:numId w:val="5"/>
        </w:numPr>
        <w:tabs>
          <w:tab w:val="clear" w:pos="153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opis i opseg poslova održavanja sa procjenom pojedinih troškova po djelatnostima</w:t>
      </w:r>
    </w:p>
    <w:p w:rsidR="00B60C2C" w:rsidRPr="00C156F0" w:rsidRDefault="00B60C2C" w:rsidP="00B60C2C">
      <w:pPr>
        <w:numPr>
          <w:ilvl w:val="0"/>
          <w:numId w:val="5"/>
        </w:numPr>
        <w:tabs>
          <w:tab w:val="clear" w:pos="153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iskaz financijskih sredstava potrebnih za ostvarivanje programa sa naznakom izvora financiranja</w:t>
      </w:r>
    </w:p>
    <w:p w:rsidR="00700A32" w:rsidRPr="00C156F0" w:rsidRDefault="00700A32" w:rsidP="00700A32">
      <w:pPr>
        <w:jc w:val="both"/>
        <w:rPr>
          <w:rFonts w:ascii="Arial" w:hAnsi="Arial" w:cs="Arial"/>
          <w:sz w:val="22"/>
          <w:szCs w:val="22"/>
        </w:rPr>
      </w:pPr>
    </w:p>
    <w:p w:rsidR="00B60C2C" w:rsidRPr="00C156F0" w:rsidRDefault="00B60C2C" w:rsidP="00B60C2C">
      <w:pPr>
        <w:jc w:val="center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t>Članak 2.</w:t>
      </w:r>
    </w:p>
    <w:p w:rsidR="00B60C2C" w:rsidRDefault="004F2B83" w:rsidP="00B60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2015</w:t>
      </w:r>
      <w:r w:rsidR="00B60C2C" w:rsidRPr="00C156F0">
        <w:rPr>
          <w:rFonts w:ascii="Arial" w:hAnsi="Arial" w:cs="Arial"/>
          <w:sz w:val="22"/>
          <w:szCs w:val="22"/>
        </w:rPr>
        <w:t>. godini održavanje komunalne infrastrukture  iz članka 1. ovog Programa u Gradu Prelogu obuhvaća:</w:t>
      </w:r>
    </w:p>
    <w:p w:rsidR="00C156F0" w:rsidRPr="00C156F0" w:rsidRDefault="00C156F0" w:rsidP="00B60C2C">
      <w:pPr>
        <w:jc w:val="both"/>
        <w:rPr>
          <w:rFonts w:ascii="Arial" w:hAnsi="Arial" w:cs="Arial"/>
          <w:sz w:val="22"/>
          <w:szCs w:val="22"/>
        </w:rPr>
      </w:pPr>
    </w:p>
    <w:p w:rsidR="00DE4253" w:rsidRDefault="008E4C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PRIKAZ PO SKUPINAMA I VRSTI RADOVA</w:t>
      </w:r>
    </w:p>
    <w:p w:rsidR="008E4C49" w:rsidRDefault="008E4C4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540" w:type="dxa"/>
        <w:jc w:val="center"/>
        <w:tblLook w:val="04A0"/>
      </w:tblPr>
      <w:tblGrid>
        <w:gridCol w:w="598"/>
        <w:gridCol w:w="6365"/>
        <w:gridCol w:w="1577"/>
      </w:tblGrid>
      <w:tr w:rsidR="00DE4253" w:rsidRPr="00DE4253" w:rsidTr="006C76FE">
        <w:trPr>
          <w:trHeight w:val="340"/>
          <w:jc w:val="center"/>
        </w:trPr>
        <w:tc>
          <w:tcPr>
            <w:tcW w:w="69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1. ODVODNJA ATMOSFERSKIH VODA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</w:t>
            </w:r>
            <w:r w:rsidR="00DE4253"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DE4253" w:rsidRPr="00DE4253" w:rsidTr="006C76FE">
        <w:trPr>
          <w:trHeight w:val="27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Redovito čišćenje tijela slivnika</w:t>
            </w:r>
          </w:p>
        </w:tc>
        <w:tc>
          <w:tcPr>
            <w:tcW w:w="1577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Izgradnja novih slivnika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anacija ili rekonstrukcija postojećih</w:t>
            </w:r>
            <w:r w:rsidRPr="00DE4253">
              <w:rPr>
                <w:rFonts w:ascii="Arial" w:hAnsi="Arial" w:cs="Arial"/>
                <w:sz w:val="20"/>
                <w:szCs w:val="20"/>
              </w:rPr>
              <w:t xml:space="preserve"> slivnika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Sanacija ili rekonstrukcija post</w:t>
            </w:r>
            <w:r>
              <w:rPr>
                <w:rFonts w:ascii="Arial" w:hAnsi="Arial" w:cs="Arial"/>
                <w:sz w:val="20"/>
                <w:szCs w:val="20"/>
              </w:rPr>
              <w:t>ojećih</w:t>
            </w:r>
            <w:r w:rsidRPr="00DE4253">
              <w:rPr>
                <w:rFonts w:ascii="Arial" w:hAnsi="Arial" w:cs="Arial"/>
                <w:sz w:val="20"/>
                <w:szCs w:val="20"/>
              </w:rPr>
              <w:t xml:space="preserve"> revizionih okana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</w:t>
            </w:r>
            <w:r w:rsidRPr="00DE4253">
              <w:rPr>
                <w:rFonts w:ascii="Arial" w:hAnsi="Arial" w:cs="Arial"/>
                <w:sz w:val="20"/>
                <w:szCs w:val="20"/>
              </w:rPr>
              <w:t xml:space="preserve"> novih otvorenih i zatvorenih jarkova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Redovito održavanje postojećih jarkova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E4253" w:rsidRPr="00DE4253" w:rsidTr="006C76FE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Špricanje dna jarka herbicidima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27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sz w:val="20"/>
                <w:szCs w:val="20"/>
              </w:rPr>
            </w:pPr>
            <w:r w:rsidRPr="00DE4253">
              <w:rPr>
                <w:rFonts w:ascii="Arial" w:hAnsi="Arial" w:cs="Arial"/>
                <w:sz w:val="20"/>
                <w:szCs w:val="20"/>
              </w:rPr>
              <w:t>Čišćenje postojeće kanalizacije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DE4253" w:rsidRPr="00DE425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E4253" w:rsidRPr="00DE4253" w:rsidTr="006C76FE">
        <w:trPr>
          <w:trHeight w:val="315"/>
          <w:jc w:val="center"/>
        </w:trPr>
        <w:tc>
          <w:tcPr>
            <w:tcW w:w="6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53" w:rsidRPr="00DE4253" w:rsidRDefault="00DE4253" w:rsidP="00DE4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3" w:rsidRPr="00DE4253" w:rsidRDefault="004F2B83" w:rsidP="00DE4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DE4253" w:rsidRPr="00DE4253">
              <w:rPr>
                <w:rFonts w:ascii="Arial" w:hAnsi="Arial" w:cs="Arial"/>
                <w:b/>
                <w:bCs/>
                <w:sz w:val="22"/>
                <w:szCs w:val="22"/>
              </w:rPr>
              <w:t>0.000,00</w:t>
            </w:r>
          </w:p>
        </w:tc>
      </w:tr>
    </w:tbl>
    <w:p w:rsidR="00DE4253" w:rsidRDefault="00DE4253">
      <w:pPr>
        <w:rPr>
          <w:rFonts w:ascii="Arial" w:hAnsi="Arial" w:cs="Arial"/>
          <w:b/>
          <w:bCs/>
          <w:sz w:val="20"/>
          <w:szCs w:val="20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Default="007D1A56" w:rsidP="007D1A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D061E1" w:rsidRPr="00D061E1" w:rsidRDefault="007D1A56" w:rsidP="007D1A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1A56">
        <w:rPr>
          <w:rFonts w:ascii="Arial" w:hAnsi="Arial" w:cs="Arial"/>
          <w:sz w:val="22"/>
          <w:szCs w:val="22"/>
        </w:rPr>
        <w:t>prihod od korištenja javnih površina</w:t>
      </w:r>
      <w:r w:rsidRPr="007D1A5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061E1" w:rsidRDefault="00D061E1" w:rsidP="00D061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61E1" w:rsidRDefault="00D061E1" w:rsidP="00D061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61E1" w:rsidRDefault="00D061E1" w:rsidP="00D061E1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489" w:type="dxa"/>
        <w:jc w:val="center"/>
        <w:tblLook w:val="04A0"/>
      </w:tblPr>
      <w:tblGrid>
        <w:gridCol w:w="662"/>
        <w:gridCol w:w="6365"/>
        <w:gridCol w:w="1462"/>
      </w:tblGrid>
      <w:tr w:rsidR="00D061E1" w:rsidTr="00D061E1">
        <w:trPr>
          <w:trHeight w:val="675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ODRŽAVANJE ČISTOČE U DIJELU KOJI SE ODNOSI NA ČIŠĆENJE JAVNIH POVRŠINA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061E1" w:rsidTr="00D061E1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Skupljanje otpadaka iz koševa Prelog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Skupljanje otpadaka iz koševa ostala naselja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Ručno i strojno čišćenje uz rubnike Prelog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Ručno i strojno čišćenje uz rubnike – Draškovec, Cirkovljan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Čišćenje parkova 2x godišnje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Košnja i obnova travnjaka po svim mjestima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i sadnja trajnih nasada po svim mjestima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P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1E1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P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 w:rsidRPr="00D061E1">
              <w:rPr>
                <w:rFonts w:ascii="Arial" w:hAnsi="Arial" w:cs="Arial"/>
                <w:sz w:val="20"/>
                <w:szCs w:val="20"/>
              </w:rPr>
              <w:t>Održavanje i sadnja cvjetnih gredica – sva mjesta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P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61E1">
              <w:rPr>
                <w:rFonts w:ascii="Arial" w:hAnsi="Arial" w:cs="Arial"/>
                <w:sz w:val="20"/>
                <w:szCs w:val="20"/>
              </w:rPr>
              <w:t>135.000,00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živice u Draškovcu i grmova u Glavnoj ulici u Prelogu.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grmova u ostalim naseljima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Otklon uginulih životinja s javne površine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hortikulturnog projekta za sva mjesta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D061E1" w:rsidTr="00D061E1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katastra zelenih površina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</w:tr>
      <w:tr w:rsidR="00D061E1" w:rsidTr="00D061E1">
        <w:trPr>
          <w:trHeight w:val="330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1E1" w:rsidRDefault="00D06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E1" w:rsidRDefault="00D061E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758.000,00</w:t>
            </w:r>
          </w:p>
        </w:tc>
      </w:tr>
    </w:tbl>
    <w:p w:rsidR="00D061E1" w:rsidRDefault="00D061E1" w:rsidP="007D1A56">
      <w:pPr>
        <w:jc w:val="both"/>
        <w:rPr>
          <w:rFonts w:ascii="Arial" w:hAnsi="Arial" w:cs="Arial"/>
          <w:sz w:val="22"/>
          <w:szCs w:val="22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7D1A56" w:rsidRDefault="007D1A56" w:rsidP="007D1A56">
      <w:pPr>
        <w:jc w:val="both"/>
        <w:rPr>
          <w:rFonts w:ascii="Arial" w:hAnsi="Arial" w:cs="Arial"/>
        </w:rPr>
      </w:pPr>
    </w:p>
    <w:p w:rsidR="00DA596F" w:rsidRDefault="00DA596F" w:rsidP="007D1A56">
      <w:pPr>
        <w:jc w:val="both"/>
        <w:rPr>
          <w:rFonts w:ascii="Arial" w:hAnsi="Arial" w:cs="Arial"/>
        </w:rPr>
      </w:pPr>
    </w:p>
    <w:p w:rsidR="00DA596F" w:rsidRDefault="00DA596F" w:rsidP="007D1A56">
      <w:pPr>
        <w:jc w:val="both"/>
        <w:rPr>
          <w:rFonts w:ascii="Arial" w:hAnsi="Arial" w:cs="Arial"/>
        </w:rPr>
      </w:pPr>
    </w:p>
    <w:tbl>
      <w:tblPr>
        <w:tblW w:w="8489" w:type="dxa"/>
        <w:jc w:val="center"/>
        <w:tblLook w:val="04A0"/>
      </w:tblPr>
      <w:tblGrid>
        <w:gridCol w:w="662"/>
        <w:gridCol w:w="6365"/>
        <w:gridCol w:w="1462"/>
      </w:tblGrid>
      <w:tr w:rsidR="00DA596F" w:rsidTr="00DA596F">
        <w:trPr>
          <w:trHeight w:val="615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ODRŽAVANJE JAVNIH POVRŠINA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Čišćenje nogostupa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Špricanje od izrasle trave u reškama herbicidima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Saniranje divljih odlagališta i zbrinjavanje građevinskog otpada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A596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A596F" w:rsidTr="00DA596F">
        <w:trPr>
          <w:trHeight w:val="51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Urbana oprema popravak klupa po parkovima, popravak i nabava dječjih igrala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96F" w:rsidRDefault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A596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Nabava tabli sa nazivima uli</w:t>
            </w:r>
            <w:r w:rsidR="00FB689C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55227F" w:rsidP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A596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Postava zastava u dane blagdana i svečanih prigoda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Montaža i demontaža bina za potrebe Grada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Navodnjavanje javnih zelenih površina na području Grada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552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96F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DA596F" w:rsidTr="00DA596F">
        <w:trPr>
          <w:trHeight w:val="315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Servis i održavanje fontane na Trgu Slobode u Prelogu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A596F" w:rsidTr="00DA596F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pilova, spomen obilježja, spomenika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DA596F" w:rsidTr="00DA596F">
        <w:trPr>
          <w:trHeight w:val="330"/>
          <w:jc w:val="center"/>
        </w:trPr>
        <w:tc>
          <w:tcPr>
            <w:tcW w:w="7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226.000,00</w:t>
            </w:r>
          </w:p>
        </w:tc>
      </w:tr>
    </w:tbl>
    <w:p w:rsidR="008E4C49" w:rsidRDefault="008E4C49">
      <w:pPr>
        <w:rPr>
          <w:rFonts w:ascii="Arial" w:hAnsi="Arial" w:cs="Arial"/>
          <w:b/>
          <w:bCs/>
          <w:sz w:val="20"/>
          <w:szCs w:val="20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7D1A56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naknada za koncesije</w:t>
      </w:r>
    </w:p>
    <w:p w:rsidR="008E4C49" w:rsidRDefault="008E4C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415" w:type="dxa"/>
        <w:tblInd w:w="118" w:type="dxa"/>
        <w:tblLook w:val="04A0"/>
      </w:tblPr>
      <w:tblGrid>
        <w:gridCol w:w="550"/>
        <w:gridCol w:w="6377"/>
        <w:gridCol w:w="1488"/>
      </w:tblGrid>
      <w:tr w:rsidR="00DA596F" w:rsidTr="00DA596F">
        <w:trPr>
          <w:trHeight w:val="61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ODRŽAVANJE NERAZVRSTANIH CESTA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Sanacije nerazvrstanih cesta, pješačko biciklističkih staza, udarne rupe, prekopi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Strojno rezanje bankina po mjestima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poljskih putova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6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Zimska služba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</w:tr>
      <w:tr w:rsidR="00DA596F" w:rsidTr="00DA596F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6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prometne signalizacije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A596F" w:rsidTr="00DA596F">
        <w:trPr>
          <w:trHeight w:val="315"/>
        </w:trPr>
        <w:tc>
          <w:tcPr>
            <w:tcW w:w="6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196.000,00</w:t>
            </w:r>
          </w:p>
        </w:tc>
      </w:tr>
    </w:tbl>
    <w:p w:rsidR="00DA596F" w:rsidRDefault="00DA596F" w:rsidP="007D1A56">
      <w:pPr>
        <w:pStyle w:val="Tijeloteksta"/>
        <w:rPr>
          <w:sz w:val="22"/>
          <w:szCs w:val="22"/>
        </w:rPr>
      </w:pPr>
    </w:p>
    <w:p w:rsidR="007D1A56" w:rsidRPr="003313DE" w:rsidRDefault="007D1A56" w:rsidP="007D1A56">
      <w:pPr>
        <w:pStyle w:val="Tijeloteksta"/>
        <w:rPr>
          <w:sz w:val="22"/>
          <w:szCs w:val="22"/>
        </w:rPr>
      </w:pPr>
      <w:r w:rsidRPr="003313DE">
        <w:rPr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7D1A56" w:rsidRDefault="007D1A56" w:rsidP="007D1A56">
      <w:pPr>
        <w:jc w:val="both"/>
        <w:rPr>
          <w:rFonts w:ascii="Arial" w:hAnsi="Arial" w:cs="Arial"/>
        </w:rPr>
      </w:pPr>
    </w:p>
    <w:p w:rsidR="008E4C49" w:rsidRDefault="008E4C49" w:rsidP="007D1A5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415" w:type="dxa"/>
        <w:tblInd w:w="118" w:type="dxa"/>
        <w:tblLook w:val="04A0"/>
      </w:tblPr>
      <w:tblGrid>
        <w:gridCol w:w="550"/>
        <w:gridCol w:w="6377"/>
        <w:gridCol w:w="1488"/>
      </w:tblGrid>
      <w:tr w:rsidR="00DA596F" w:rsidTr="00DA596F">
        <w:trPr>
          <w:trHeight w:val="61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JAVNA RASVJETA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330"/>
        </w:trPr>
        <w:tc>
          <w:tcPr>
            <w:tcW w:w="55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637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Ukrasna božićna i novogodišnja rasvjeta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  <w:tr w:rsidR="00DA596F" w:rsidTr="00DA596F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Popravak javne rasvjete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DA596F" w:rsidTr="00DA596F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Potrošnja javne rasvjete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379.000,00</w:t>
            </w:r>
          </w:p>
        </w:tc>
      </w:tr>
      <w:tr w:rsidR="00DA596F" w:rsidTr="00DA596F">
        <w:trPr>
          <w:trHeight w:val="315"/>
        </w:trPr>
        <w:tc>
          <w:tcPr>
            <w:tcW w:w="6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499.000,00</w:t>
            </w:r>
          </w:p>
        </w:tc>
      </w:tr>
    </w:tbl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A56" w:rsidRPr="003313DE" w:rsidRDefault="007D1A56" w:rsidP="007D1A56">
      <w:p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Izvori financiranja:</w:t>
      </w:r>
    </w:p>
    <w:p w:rsidR="007D1A56" w:rsidRPr="003313DE" w:rsidRDefault="007D1A56" w:rsidP="007D1A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komunalna naknada</w:t>
      </w:r>
    </w:p>
    <w:p w:rsidR="007D1A56" w:rsidRPr="003313DE" w:rsidRDefault="007D1A56" w:rsidP="007D1A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korištenje prostora elektrana</w:t>
      </w:r>
    </w:p>
    <w:p w:rsidR="007D1A56" w:rsidRPr="003313DE" w:rsidRDefault="007D1A56" w:rsidP="007D1A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13DE">
        <w:rPr>
          <w:rFonts w:ascii="Arial" w:hAnsi="Arial" w:cs="Arial"/>
          <w:sz w:val="22"/>
          <w:szCs w:val="22"/>
        </w:rPr>
        <w:t>ostali prihodi proračuna</w:t>
      </w:r>
    </w:p>
    <w:p w:rsidR="008E4C49" w:rsidRDefault="008E4C49" w:rsidP="007D1A56">
      <w:pPr>
        <w:rPr>
          <w:rFonts w:ascii="Arial" w:hAnsi="Arial" w:cs="Arial"/>
          <w:b/>
          <w:bCs/>
          <w:sz w:val="20"/>
          <w:szCs w:val="20"/>
        </w:rPr>
      </w:pPr>
    </w:p>
    <w:p w:rsidR="007D1A56" w:rsidRDefault="007D1A56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A56" w:rsidRDefault="007D1A56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Pr="007D1A56" w:rsidRDefault="007D1A56" w:rsidP="00C156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1A56">
        <w:rPr>
          <w:rFonts w:ascii="Arial" w:hAnsi="Arial" w:cs="Arial"/>
          <w:b/>
          <w:bCs/>
          <w:sz w:val="28"/>
          <w:szCs w:val="28"/>
        </w:rPr>
        <w:t>REKAPITULACIJA</w:t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384" w:type="dxa"/>
        <w:tblInd w:w="118" w:type="dxa"/>
        <w:tblLook w:val="04A0"/>
      </w:tblPr>
      <w:tblGrid>
        <w:gridCol w:w="383"/>
        <w:gridCol w:w="6500"/>
        <w:gridCol w:w="1501"/>
      </w:tblGrid>
      <w:tr w:rsidR="00DA596F" w:rsidTr="00DA596F">
        <w:trPr>
          <w:trHeight w:val="615"/>
        </w:trPr>
        <w:tc>
          <w:tcPr>
            <w:tcW w:w="688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DJELATNOST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2015.</w:t>
            </w:r>
          </w:p>
        </w:tc>
      </w:tr>
      <w:tr w:rsidR="00DA596F" w:rsidTr="00DA596F">
        <w:trPr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Odvodnja atmosferskih voda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240.000,00</w:t>
            </w:r>
          </w:p>
        </w:tc>
      </w:tr>
      <w:tr w:rsidR="00DA596F" w:rsidTr="00DA596F">
        <w:trPr>
          <w:trHeight w:val="33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čistoće u dijelu koji se odnosi na čišćenje javnih površina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758.000,00</w:t>
            </w:r>
          </w:p>
        </w:tc>
      </w:tr>
      <w:tr w:rsidR="00DA596F" w:rsidTr="00DA596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javnih površina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226.000,00</w:t>
            </w:r>
          </w:p>
        </w:tc>
      </w:tr>
      <w:tr w:rsidR="00DA596F" w:rsidTr="00DA596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nerazvrstanih cesta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196.000,00</w:t>
            </w:r>
          </w:p>
        </w:tc>
      </w:tr>
      <w:tr w:rsidR="00DA596F" w:rsidTr="00DA596F">
        <w:trPr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499.000,00</w:t>
            </w:r>
          </w:p>
        </w:tc>
      </w:tr>
      <w:tr w:rsidR="00DA596F" w:rsidTr="00DA596F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6F" w:rsidRDefault="00DA59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1.919.000,00</w:t>
            </w:r>
          </w:p>
        </w:tc>
      </w:tr>
    </w:tbl>
    <w:p w:rsidR="00DA596F" w:rsidRDefault="00DA596F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A56" w:rsidRDefault="007D1A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PRIKAZ PO MJESNIM ODBORIMA</w:t>
      </w:r>
    </w:p>
    <w:p w:rsidR="008E4C49" w:rsidRDefault="008E4C49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3FAF" w:rsidRPr="00C156F0" w:rsidRDefault="00C156F0" w:rsidP="00C156F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56F0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13FAF" w:rsidRPr="00C156F0">
        <w:rPr>
          <w:rFonts w:ascii="Arial" w:hAnsi="Arial" w:cs="Arial"/>
          <w:b/>
          <w:bCs/>
          <w:sz w:val="20"/>
          <w:szCs w:val="20"/>
        </w:rPr>
        <w:t>ODVODNJA ATMOSFERSKIH VODA</w:t>
      </w:r>
    </w:p>
    <w:p w:rsidR="00C156F0" w:rsidRDefault="00C156F0" w:rsidP="00C156F0"/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240.000,00</w:t>
            </w:r>
          </w:p>
        </w:tc>
      </w:tr>
    </w:tbl>
    <w:p w:rsidR="00924490" w:rsidRDefault="00924490" w:rsidP="00C156F0"/>
    <w:p w:rsidR="007D1A56" w:rsidRDefault="007D1A56">
      <w:pPr>
        <w:jc w:val="both"/>
        <w:rPr>
          <w:rFonts w:ascii="Arial" w:hAnsi="Arial" w:cs="Arial"/>
          <w:sz w:val="22"/>
          <w:szCs w:val="22"/>
        </w:rPr>
      </w:pPr>
    </w:p>
    <w:p w:rsidR="007D1A56" w:rsidRDefault="007D1A56">
      <w:pPr>
        <w:jc w:val="both"/>
        <w:rPr>
          <w:rFonts w:ascii="Arial" w:hAnsi="Arial" w:cs="Arial"/>
          <w:sz w:val="22"/>
          <w:szCs w:val="22"/>
        </w:rPr>
      </w:pPr>
    </w:p>
    <w:p w:rsidR="00413FAF" w:rsidRDefault="00413FAF" w:rsidP="007D1A56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3F395B">
        <w:rPr>
          <w:rFonts w:ascii="Arial" w:hAnsi="Arial" w:cs="Arial"/>
          <w:b/>
          <w:bCs/>
          <w:sz w:val="20"/>
          <w:szCs w:val="20"/>
        </w:rPr>
        <w:t>2. ODRŽAVANJE ČISTOĆE U DIJELU KOJI SE ODNOSI NA ČIŠĆENJE JAVNIH POVRŠINA</w:t>
      </w:r>
    </w:p>
    <w:p w:rsidR="00C156F0" w:rsidRDefault="00C156F0" w:rsidP="00413FAF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758.000,00</w:t>
            </w:r>
          </w:p>
        </w:tc>
      </w:tr>
    </w:tbl>
    <w:p w:rsidR="00924490" w:rsidRDefault="00924490" w:rsidP="00413F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3362" w:rsidRDefault="00A13362">
      <w:pPr>
        <w:jc w:val="both"/>
        <w:rPr>
          <w:rFonts w:ascii="Arial" w:hAnsi="Arial" w:cs="Arial"/>
        </w:rPr>
      </w:pPr>
    </w:p>
    <w:p w:rsidR="00924490" w:rsidRDefault="00924490">
      <w:pPr>
        <w:jc w:val="both"/>
        <w:rPr>
          <w:rFonts w:ascii="Arial" w:hAnsi="Arial" w:cs="Arial"/>
        </w:rPr>
      </w:pPr>
    </w:p>
    <w:p w:rsidR="00413FAF" w:rsidRDefault="00413FAF" w:rsidP="00413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3362">
        <w:rPr>
          <w:rFonts w:ascii="Arial" w:hAnsi="Arial" w:cs="Arial"/>
          <w:b/>
          <w:bCs/>
          <w:sz w:val="20"/>
          <w:szCs w:val="20"/>
        </w:rPr>
        <w:t>3. ODRŽAVANJE JAVNIH POVRŠINA</w:t>
      </w:r>
    </w:p>
    <w:p w:rsidR="00C156F0" w:rsidRDefault="00C156F0" w:rsidP="00413FAF">
      <w:pPr>
        <w:jc w:val="center"/>
        <w:rPr>
          <w:rFonts w:ascii="Arial" w:hAnsi="Arial" w:cs="Arial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226.000,00</w:t>
            </w:r>
          </w:p>
        </w:tc>
      </w:tr>
    </w:tbl>
    <w:p w:rsidR="00924490" w:rsidRDefault="00924490" w:rsidP="00413FAF">
      <w:pPr>
        <w:jc w:val="center"/>
        <w:rPr>
          <w:rFonts w:ascii="Arial" w:hAnsi="Arial" w:cs="Arial"/>
        </w:rPr>
      </w:pPr>
    </w:p>
    <w:p w:rsidR="00924490" w:rsidRDefault="00924490" w:rsidP="00413FAF">
      <w:pPr>
        <w:jc w:val="center"/>
        <w:rPr>
          <w:rFonts w:ascii="Arial" w:hAnsi="Arial" w:cs="Arial"/>
        </w:rPr>
      </w:pPr>
    </w:p>
    <w:p w:rsidR="00924490" w:rsidRDefault="00924490" w:rsidP="00413FAF">
      <w:pPr>
        <w:jc w:val="center"/>
        <w:rPr>
          <w:rFonts w:ascii="Arial" w:hAnsi="Arial" w:cs="Arial"/>
        </w:rPr>
      </w:pPr>
    </w:p>
    <w:p w:rsidR="00A13362" w:rsidRDefault="00A13362" w:rsidP="00A13362">
      <w:pPr>
        <w:jc w:val="both"/>
        <w:rPr>
          <w:rFonts w:ascii="Arial" w:hAnsi="Arial" w:cs="Arial"/>
          <w:sz w:val="22"/>
          <w:szCs w:val="22"/>
        </w:rPr>
      </w:pPr>
    </w:p>
    <w:p w:rsidR="00A13362" w:rsidRDefault="00A13362" w:rsidP="00413FA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413FAF" w:rsidRPr="00A13362">
        <w:rPr>
          <w:rFonts w:ascii="Arial" w:hAnsi="Arial" w:cs="Arial"/>
          <w:b/>
          <w:bCs/>
          <w:sz w:val="20"/>
          <w:szCs w:val="20"/>
        </w:rPr>
        <w:lastRenderedPageBreak/>
        <w:t>4. ODRŽAVANJE NERAZVRSTANIH CESTA</w:t>
      </w:r>
    </w:p>
    <w:p w:rsidR="00C156F0" w:rsidRDefault="00C156F0" w:rsidP="00413FA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924490" w:rsidTr="00924490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924490" w:rsidTr="0092449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24490" w:rsidTr="00924490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490" w:rsidRDefault="0092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924490" w:rsidTr="0092449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490" w:rsidRDefault="0092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90" w:rsidRDefault="009244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196.000,00</w:t>
            </w:r>
          </w:p>
        </w:tc>
      </w:tr>
    </w:tbl>
    <w:p w:rsidR="00A13362" w:rsidRDefault="00A13362" w:rsidP="00A13362">
      <w:pPr>
        <w:jc w:val="both"/>
        <w:rPr>
          <w:rFonts w:ascii="Arial" w:hAnsi="Arial" w:cs="Arial"/>
          <w:sz w:val="22"/>
          <w:szCs w:val="22"/>
        </w:rPr>
      </w:pPr>
    </w:p>
    <w:p w:rsidR="000A515D" w:rsidRDefault="000A515D">
      <w:pPr>
        <w:jc w:val="both"/>
        <w:rPr>
          <w:rFonts w:ascii="Arial" w:hAnsi="Arial" w:cs="Arial"/>
        </w:rPr>
      </w:pPr>
    </w:p>
    <w:p w:rsidR="00C156F0" w:rsidRDefault="00C156F0">
      <w:pPr>
        <w:jc w:val="both"/>
        <w:rPr>
          <w:rFonts w:ascii="Arial" w:hAnsi="Arial" w:cs="Arial"/>
        </w:rPr>
      </w:pPr>
    </w:p>
    <w:p w:rsidR="003313DE" w:rsidRDefault="00413FAF" w:rsidP="00413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3362">
        <w:rPr>
          <w:rFonts w:ascii="Arial" w:hAnsi="Arial" w:cs="Arial"/>
          <w:b/>
          <w:bCs/>
          <w:sz w:val="20"/>
          <w:szCs w:val="20"/>
        </w:rPr>
        <w:t>5. JAVNA RASVJETA</w:t>
      </w:r>
    </w:p>
    <w:p w:rsidR="00C156F0" w:rsidRDefault="00C156F0" w:rsidP="00413FAF">
      <w:pPr>
        <w:jc w:val="center"/>
        <w:rPr>
          <w:rFonts w:ascii="Arial" w:hAnsi="Arial" w:cs="Arial"/>
        </w:rPr>
      </w:pPr>
    </w:p>
    <w:tbl>
      <w:tblPr>
        <w:tblW w:w="5200" w:type="dxa"/>
        <w:jc w:val="center"/>
        <w:tblLook w:val="04A0"/>
      </w:tblPr>
      <w:tblGrid>
        <w:gridCol w:w="500"/>
        <w:gridCol w:w="3220"/>
        <w:gridCol w:w="1480"/>
      </w:tblGrid>
      <w:tr w:rsidR="00F8023C" w:rsidTr="00F8023C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F8023C" w:rsidTr="00F8023C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F8023C" w:rsidTr="00F8023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23C" w:rsidRDefault="00F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499.000,00</w:t>
            </w:r>
          </w:p>
        </w:tc>
      </w:tr>
    </w:tbl>
    <w:p w:rsidR="00924490" w:rsidRDefault="00924490" w:rsidP="00413FAF">
      <w:pPr>
        <w:jc w:val="center"/>
        <w:rPr>
          <w:rFonts w:ascii="Arial" w:hAnsi="Arial" w:cs="Arial"/>
        </w:rPr>
      </w:pPr>
    </w:p>
    <w:p w:rsidR="007D1A56" w:rsidRDefault="007D1A56">
      <w:pPr>
        <w:jc w:val="both"/>
        <w:rPr>
          <w:rFonts w:ascii="Arial" w:hAnsi="Arial" w:cs="Arial"/>
        </w:rPr>
      </w:pPr>
    </w:p>
    <w:p w:rsidR="00871EC4" w:rsidRDefault="00871EC4" w:rsidP="00413FAF">
      <w:pPr>
        <w:rPr>
          <w:rFonts w:ascii="Arial" w:hAnsi="Arial" w:cs="Arial"/>
        </w:rPr>
      </w:pPr>
    </w:p>
    <w:p w:rsidR="000A515D" w:rsidRDefault="000A515D">
      <w:pPr>
        <w:pStyle w:val="Naslov2"/>
      </w:pPr>
      <w:r>
        <w:t>R E K A P I T U L A C I J A</w:t>
      </w:r>
    </w:p>
    <w:p w:rsidR="00A13362" w:rsidRDefault="00A13362">
      <w:pPr>
        <w:jc w:val="center"/>
        <w:rPr>
          <w:rFonts w:ascii="Arial" w:hAnsi="Arial" w:cs="Arial"/>
          <w:b/>
        </w:rPr>
      </w:pPr>
    </w:p>
    <w:p w:rsidR="00F8023C" w:rsidRDefault="00F8023C">
      <w:pPr>
        <w:jc w:val="center"/>
        <w:rPr>
          <w:rFonts w:ascii="Arial" w:hAnsi="Arial" w:cs="Arial"/>
          <w:b/>
        </w:rPr>
      </w:pPr>
    </w:p>
    <w:tbl>
      <w:tblPr>
        <w:tblW w:w="5182" w:type="dxa"/>
        <w:jc w:val="center"/>
        <w:tblLook w:val="04A0"/>
      </w:tblPr>
      <w:tblGrid>
        <w:gridCol w:w="500"/>
        <w:gridCol w:w="3181"/>
        <w:gridCol w:w="1501"/>
      </w:tblGrid>
      <w:tr w:rsidR="00F8023C" w:rsidTr="00F8023C">
        <w:trPr>
          <w:trHeight w:val="52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UKUPNI IZNOSI PO MJESNIM ODBORIMA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2015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PRELOG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1.228.000,00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ČEHOVEC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OTOK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CIRKOVLJAN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DRAŠKOVEC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HEMUŠEVEC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F8023C" w:rsidTr="00F8023C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OPOROVEC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</w:tr>
      <w:tr w:rsidR="00F8023C" w:rsidTr="00F8023C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23C" w:rsidRDefault="00F8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M.O. ČUKOVEC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F8023C" w:rsidTr="00F8023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23C" w:rsidRDefault="00F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23C" w:rsidRDefault="00F8023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1.919.000,00</w:t>
            </w:r>
          </w:p>
        </w:tc>
      </w:tr>
    </w:tbl>
    <w:p w:rsidR="00F8023C" w:rsidRDefault="00F8023C">
      <w:pPr>
        <w:jc w:val="center"/>
        <w:rPr>
          <w:rFonts w:ascii="Arial" w:hAnsi="Arial" w:cs="Arial"/>
          <w:b/>
        </w:rPr>
      </w:pP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</w:p>
    <w:p w:rsidR="007D1A56" w:rsidRDefault="007D1A56" w:rsidP="007B1320">
      <w:pPr>
        <w:jc w:val="center"/>
        <w:rPr>
          <w:rFonts w:ascii="Arial" w:hAnsi="Arial" w:cs="Arial"/>
          <w:b/>
          <w:sz w:val="22"/>
          <w:szCs w:val="22"/>
        </w:rPr>
      </w:pPr>
    </w:p>
    <w:p w:rsidR="00F8023C" w:rsidRDefault="00F802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lastRenderedPageBreak/>
        <w:t>Članak 3.</w:t>
      </w:r>
    </w:p>
    <w:p w:rsidR="007B1320" w:rsidRPr="00C156F0" w:rsidRDefault="007B1320" w:rsidP="007B1320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Sredstva potrebna za ostvarivanje ovog programa, utvrđ</w:t>
      </w:r>
      <w:r w:rsidR="00F8023C">
        <w:rPr>
          <w:rFonts w:ascii="Arial" w:hAnsi="Arial" w:cs="Arial"/>
          <w:sz w:val="22"/>
          <w:szCs w:val="22"/>
        </w:rPr>
        <w:t>uju se u ukupnom iznosu od 1.919</w:t>
      </w:r>
      <w:r w:rsidRPr="00C156F0">
        <w:rPr>
          <w:rFonts w:ascii="Arial" w:hAnsi="Arial" w:cs="Arial"/>
          <w:sz w:val="22"/>
          <w:szCs w:val="22"/>
        </w:rPr>
        <w:t>.000,00 kuna, a financirat će se iz sredstava komunalne naknade, ostalih prihoda proračuna, prihod</w:t>
      </w:r>
      <w:r w:rsidR="00312EFE">
        <w:rPr>
          <w:rFonts w:ascii="Arial" w:hAnsi="Arial" w:cs="Arial"/>
          <w:sz w:val="22"/>
          <w:szCs w:val="22"/>
        </w:rPr>
        <w:t>a od korištenja javnih površina</w:t>
      </w:r>
      <w:r w:rsidRPr="00C156F0">
        <w:rPr>
          <w:rFonts w:ascii="Arial" w:hAnsi="Arial" w:cs="Arial"/>
          <w:sz w:val="22"/>
          <w:szCs w:val="22"/>
        </w:rPr>
        <w:t>.</w:t>
      </w:r>
    </w:p>
    <w:p w:rsidR="007B1320" w:rsidRPr="00C156F0" w:rsidRDefault="007B1320" w:rsidP="007B1320">
      <w:pPr>
        <w:jc w:val="center"/>
        <w:rPr>
          <w:rFonts w:ascii="Arial" w:hAnsi="Arial" w:cs="Arial"/>
          <w:sz w:val="22"/>
          <w:szCs w:val="22"/>
        </w:rPr>
      </w:pP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</w:p>
    <w:p w:rsidR="007B1320" w:rsidRPr="00C156F0" w:rsidRDefault="007B1320" w:rsidP="007B1320">
      <w:pPr>
        <w:jc w:val="center"/>
        <w:rPr>
          <w:rFonts w:ascii="Arial" w:hAnsi="Arial" w:cs="Arial"/>
          <w:b/>
          <w:sz w:val="22"/>
          <w:szCs w:val="22"/>
        </w:rPr>
      </w:pPr>
      <w:r w:rsidRPr="00C156F0">
        <w:rPr>
          <w:rFonts w:ascii="Arial" w:hAnsi="Arial" w:cs="Arial"/>
          <w:b/>
          <w:sz w:val="22"/>
          <w:szCs w:val="22"/>
        </w:rPr>
        <w:t>Članak 4.</w:t>
      </w:r>
    </w:p>
    <w:p w:rsidR="007B1320" w:rsidRPr="00C156F0" w:rsidRDefault="007B1320" w:rsidP="007B1320">
      <w:pPr>
        <w:jc w:val="both"/>
        <w:rPr>
          <w:rFonts w:ascii="Arial" w:hAnsi="Arial" w:cs="Arial"/>
          <w:sz w:val="22"/>
          <w:szCs w:val="22"/>
        </w:rPr>
      </w:pPr>
      <w:r w:rsidRPr="00C156F0">
        <w:rPr>
          <w:rFonts w:ascii="Arial" w:hAnsi="Arial" w:cs="Arial"/>
          <w:sz w:val="22"/>
          <w:szCs w:val="22"/>
        </w:rPr>
        <w:t>Ovaj Program održavanja</w:t>
      </w:r>
      <w:r w:rsidR="00F8023C">
        <w:rPr>
          <w:rFonts w:ascii="Arial" w:hAnsi="Arial" w:cs="Arial"/>
          <w:sz w:val="22"/>
          <w:szCs w:val="22"/>
        </w:rPr>
        <w:t xml:space="preserve"> komunalne infrastrukture u 2015</w:t>
      </w:r>
      <w:r w:rsidRPr="00C156F0">
        <w:rPr>
          <w:rFonts w:ascii="Arial" w:hAnsi="Arial" w:cs="Arial"/>
          <w:sz w:val="22"/>
          <w:szCs w:val="22"/>
        </w:rPr>
        <w:t>. godini na području Grada Preloga stupa na snagu 8 dana od dana objave u "Službenom glasniku Međimurske županije", a pr</w:t>
      </w:r>
      <w:r w:rsidR="00F8023C">
        <w:rPr>
          <w:rFonts w:ascii="Arial" w:hAnsi="Arial" w:cs="Arial"/>
          <w:sz w:val="22"/>
          <w:szCs w:val="22"/>
        </w:rPr>
        <w:t>imjenjuje se od 1. siječnja 2015</w:t>
      </w:r>
      <w:r w:rsidRPr="00C156F0">
        <w:rPr>
          <w:rFonts w:ascii="Arial" w:hAnsi="Arial" w:cs="Arial"/>
          <w:sz w:val="22"/>
          <w:szCs w:val="22"/>
        </w:rPr>
        <w:t>. godine.</w:t>
      </w:r>
    </w:p>
    <w:p w:rsidR="00A13362" w:rsidRPr="00C156F0" w:rsidRDefault="00A13362">
      <w:pPr>
        <w:jc w:val="center"/>
        <w:rPr>
          <w:rFonts w:ascii="Arial" w:hAnsi="Arial" w:cs="Arial"/>
          <w:b/>
          <w:sz w:val="22"/>
          <w:szCs w:val="22"/>
        </w:rPr>
      </w:pPr>
    </w:p>
    <w:p w:rsidR="00A13362" w:rsidRPr="00C156F0" w:rsidRDefault="00A13362" w:rsidP="00A13362">
      <w:pPr>
        <w:jc w:val="center"/>
        <w:rPr>
          <w:rFonts w:ascii="Arial" w:hAnsi="Arial" w:cs="Arial"/>
          <w:sz w:val="22"/>
          <w:szCs w:val="22"/>
        </w:rPr>
      </w:pPr>
    </w:p>
    <w:p w:rsidR="007B1320" w:rsidRPr="00C156F0" w:rsidRDefault="007B1320" w:rsidP="00A13362">
      <w:pPr>
        <w:jc w:val="center"/>
        <w:rPr>
          <w:rFonts w:ascii="Arial" w:hAnsi="Arial" w:cs="Arial"/>
          <w:sz w:val="22"/>
          <w:szCs w:val="22"/>
        </w:rPr>
      </w:pPr>
    </w:p>
    <w:p w:rsidR="000A515D" w:rsidRDefault="000A515D">
      <w:pPr>
        <w:jc w:val="center"/>
        <w:rPr>
          <w:rFonts w:ascii="Arial" w:hAnsi="Arial" w:cs="Arial"/>
        </w:rPr>
      </w:pPr>
    </w:p>
    <w:p w:rsidR="002B456A" w:rsidRPr="00CC1B01" w:rsidRDefault="002B456A" w:rsidP="002B456A">
      <w:pPr>
        <w:jc w:val="center"/>
        <w:rPr>
          <w:rFonts w:ascii="Arial" w:hAnsi="Arial" w:cs="Arial"/>
          <w:b/>
        </w:rPr>
      </w:pPr>
      <w:r w:rsidRPr="00CC1B01">
        <w:rPr>
          <w:rFonts w:ascii="Arial" w:hAnsi="Arial" w:cs="Arial"/>
          <w:b/>
        </w:rPr>
        <w:t>GRADSKO VIJEĆE GRADA PRELOGA</w:t>
      </w:r>
    </w:p>
    <w:p w:rsidR="002B456A" w:rsidRDefault="002B456A" w:rsidP="002B456A">
      <w:pPr>
        <w:rPr>
          <w:rFonts w:ascii="Arial" w:hAnsi="Arial" w:cs="Arial"/>
          <w:sz w:val="28"/>
          <w:szCs w:val="28"/>
        </w:rPr>
      </w:pPr>
    </w:p>
    <w:p w:rsidR="007B1320" w:rsidRDefault="007B1320" w:rsidP="002B456A">
      <w:pPr>
        <w:rPr>
          <w:rFonts w:ascii="Arial" w:hAnsi="Arial" w:cs="Arial"/>
          <w:sz w:val="28"/>
          <w:szCs w:val="28"/>
        </w:rPr>
      </w:pPr>
    </w:p>
    <w:p w:rsidR="002B456A" w:rsidRDefault="00440B09" w:rsidP="002B456A">
      <w:pPr>
        <w:rPr>
          <w:rFonts w:ascii="Arial" w:hAnsi="Arial" w:cs="Arial"/>
        </w:rPr>
      </w:pPr>
      <w:r>
        <w:rPr>
          <w:rFonts w:ascii="Arial" w:hAnsi="Arial" w:cs="Arial"/>
        </w:rPr>
        <w:t>KLASA: 363-05/14-01/13</w:t>
      </w:r>
      <w:r w:rsidR="002B456A">
        <w:rPr>
          <w:rFonts w:ascii="Arial" w:hAnsi="Arial" w:cs="Arial"/>
        </w:rPr>
        <w:tab/>
      </w:r>
      <w:r w:rsidR="002B456A">
        <w:rPr>
          <w:rFonts w:ascii="Arial" w:hAnsi="Arial" w:cs="Arial"/>
        </w:rPr>
        <w:tab/>
      </w:r>
      <w:r w:rsidR="002B456A">
        <w:rPr>
          <w:rFonts w:ascii="Arial" w:hAnsi="Arial" w:cs="Arial"/>
        </w:rPr>
        <w:tab/>
      </w:r>
      <w:r w:rsidR="002B456A">
        <w:rPr>
          <w:rFonts w:ascii="Arial" w:hAnsi="Arial" w:cs="Arial"/>
        </w:rPr>
        <w:tab/>
      </w:r>
      <w:r w:rsidR="002B456A">
        <w:rPr>
          <w:rFonts w:ascii="Arial" w:hAnsi="Arial" w:cs="Arial"/>
        </w:rPr>
        <w:tab/>
        <w:t xml:space="preserve">            PREDSJEDNI</w:t>
      </w:r>
      <w:r w:rsidR="00D11843">
        <w:rPr>
          <w:rFonts w:ascii="Arial" w:hAnsi="Arial" w:cs="Arial"/>
        </w:rPr>
        <w:t>K</w:t>
      </w:r>
      <w:r w:rsidR="002B456A">
        <w:rPr>
          <w:rFonts w:ascii="Arial" w:hAnsi="Arial" w:cs="Arial"/>
        </w:rPr>
        <w:t>:</w:t>
      </w:r>
      <w:r w:rsidR="002B456A">
        <w:rPr>
          <w:rFonts w:ascii="Arial" w:hAnsi="Arial" w:cs="Arial"/>
        </w:rPr>
        <w:tab/>
      </w:r>
      <w:r w:rsidR="002B456A">
        <w:rPr>
          <w:rFonts w:ascii="Arial" w:hAnsi="Arial" w:cs="Arial"/>
        </w:rPr>
        <w:tab/>
      </w:r>
    </w:p>
    <w:p w:rsidR="002B456A" w:rsidRDefault="00F8023C" w:rsidP="002B456A">
      <w:pPr>
        <w:rPr>
          <w:rFonts w:ascii="Arial" w:hAnsi="Arial" w:cs="Arial"/>
        </w:rPr>
      </w:pPr>
      <w:r>
        <w:rPr>
          <w:rFonts w:ascii="Arial" w:hAnsi="Arial" w:cs="Arial"/>
        </w:rPr>
        <w:t>URBROJ: 2109/14-01-14</w:t>
      </w:r>
      <w:r w:rsidR="00440B09">
        <w:rPr>
          <w:rFonts w:ascii="Arial" w:hAnsi="Arial" w:cs="Arial"/>
        </w:rPr>
        <w:t>-1</w:t>
      </w:r>
    </w:p>
    <w:p w:rsidR="002B456A" w:rsidRDefault="00440B09" w:rsidP="002B45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Prelog, 27.11.</w:t>
      </w:r>
      <w:r w:rsidR="003A53D9">
        <w:rPr>
          <w:rFonts w:ascii="Arial" w:hAnsi="Arial" w:cs="Arial"/>
        </w:rPr>
        <w:t>201</w:t>
      </w:r>
      <w:r w:rsidR="00F8023C">
        <w:rPr>
          <w:rFonts w:ascii="Arial" w:hAnsi="Arial" w:cs="Arial"/>
        </w:rPr>
        <w:t>4</w:t>
      </w:r>
      <w:r w:rsidR="00D11843">
        <w:rPr>
          <w:rFonts w:ascii="Arial" w:hAnsi="Arial" w:cs="Arial"/>
        </w:rPr>
        <w:t xml:space="preserve">. godine </w:t>
      </w:r>
      <w:r w:rsidR="00D11843">
        <w:rPr>
          <w:rFonts w:ascii="Arial" w:hAnsi="Arial" w:cs="Arial"/>
        </w:rPr>
        <w:tab/>
      </w:r>
      <w:r w:rsidR="00D11843">
        <w:rPr>
          <w:rFonts w:ascii="Arial" w:hAnsi="Arial" w:cs="Arial"/>
        </w:rPr>
        <w:tab/>
      </w:r>
      <w:r w:rsidR="00D11843">
        <w:rPr>
          <w:rFonts w:ascii="Arial" w:hAnsi="Arial" w:cs="Arial"/>
        </w:rPr>
        <w:tab/>
        <w:t xml:space="preserve">        </w:t>
      </w:r>
      <w:r w:rsidR="002B4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D11843">
        <w:rPr>
          <w:rFonts w:ascii="Arial" w:hAnsi="Arial" w:cs="Arial"/>
        </w:rPr>
        <w:t>Goran Gotal, dipl. iur.</w:t>
      </w:r>
    </w:p>
    <w:p w:rsidR="002B456A" w:rsidRPr="007D1A56" w:rsidRDefault="002B456A" w:rsidP="002B456A">
      <w:pPr>
        <w:rPr>
          <w:rFonts w:ascii="Arial" w:hAnsi="Arial" w:cs="Arial"/>
        </w:rPr>
      </w:pPr>
    </w:p>
    <w:p w:rsidR="00D740AD" w:rsidRPr="007D1A56" w:rsidRDefault="000A515D">
      <w:pPr>
        <w:jc w:val="center"/>
        <w:rPr>
          <w:rFonts w:ascii="Arial" w:hAnsi="Arial" w:cs="Arial"/>
        </w:rPr>
      </w:pPr>
      <w:r w:rsidRPr="007D1A56">
        <w:rPr>
          <w:rFonts w:ascii="Arial" w:hAnsi="Arial" w:cs="Arial"/>
          <w:b/>
        </w:rPr>
        <w:t xml:space="preserve">                                                </w:t>
      </w:r>
    </w:p>
    <w:p w:rsidR="00D740AD" w:rsidRPr="007D1A56" w:rsidRDefault="00D740AD" w:rsidP="00D740AD">
      <w:pPr>
        <w:rPr>
          <w:rFonts w:ascii="Arial" w:hAnsi="Arial" w:cs="Arial"/>
        </w:rPr>
      </w:pPr>
    </w:p>
    <w:p w:rsidR="007B1320" w:rsidRPr="007D1A56" w:rsidRDefault="007B1320" w:rsidP="007B1320">
      <w:pPr>
        <w:jc w:val="center"/>
        <w:rPr>
          <w:rFonts w:ascii="Arial" w:hAnsi="Arial" w:cs="Arial"/>
          <w:b/>
          <w:shadow/>
        </w:rPr>
      </w:pPr>
      <w:bookmarkStart w:id="0" w:name="_GoBack"/>
      <w:bookmarkEnd w:id="0"/>
    </w:p>
    <w:p w:rsidR="007B1320" w:rsidRDefault="007B1320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BA029A" w:rsidRDefault="00BA029A" w:rsidP="007B1320">
      <w:pPr>
        <w:jc w:val="center"/>
        <w:rPr>
          <w:rFonts w:ascii="Arial" w:hAnsi="Arial" w:cs="Arial"/>
          <w:b/>
          <w:shadow/>
        </w:rPr>
      </w:pPr>
    </w:p>
    <w:p w:rsidR="00A632F8" w:rsidRDefault="00A632F8" w:rsidP="007B1320">
      <w:pPr>
        <w:jc w:val="center"/>
        <w:rPr>
          <w:rFonts w:ascii="Arial" w:hAnsi="Arial" w:cs="Arial"/>
          <w:b/>
          <w:shadow/>
        </w:rPr>
      </w:pPr>
    </w:p>
    <w:p w:rsidR="00A632F8" w:rsidRDefault="00A632F8" w:rsidP="007B1320">
      <w:pPr>
        <w:jc w:val="center"/>
        <w:rPr>
          <w:rFonts w:ascii="Arial" w:hAnsi="Arial" w:cs="Arial"/>
          <w:b/>
          <w:shadow/>
        </w:rPr>
      </w:pPr>
    </w:p>
    <w:p w:rsidR="00312EFE" w:rsidRDefault="00312EFE" w:rsidP="007B1320">
      <w:pPr>
        <w:jc w:val="center"/>
        <w:rPr>
          <w:rFonts w:ascii="Arial" w:hAnsi="Arial" w:cs="Arial"/>
          <w:b/>
          <w:shadow/>
        </w:rPr>
      </w:pPr>
    </w:p>
    <w:p w:rsidR="00312EFE" w:rsidRPr="007D1A56" w:rsidRDefault="00312EFE" w:rsidP="007B1320">
      <w:pPr>
        <w:jc w:val="center"/>
        <w:rPr>
          <w:rFonts w:ascii="Arial" w:hAnsi="Arial" w:cs="Arial"/>
          <w:b/>
          <w:shadow/>
        </w:rPr>
      </w:pPr>
    </w:p>
    <w:p w:rsidR="007B1320" w:rsidRPr="007D1A56" w:rsidRDefault="007B1320" w:rsidP="007B1320">
      <w:pPr>
        <w:jc w:val="center"/>
        <w:rPr>
          <w:rFonts w:ascii="Arial" w:hAnsi="Arial" w:cs="Arial"/>
          <w:b/>
          <w:shadow/>
        </w:rPr>
      </w:pPr>
    </w:p>
    <w:sectPr w:rsidR="007B1320" w:rsidRPr="007D1A56" w:rsidSect="003313DE">
      <w:headerReference w:type="default" r:id="rId8"/>
      <w:footerReference w:type="even" r:id="rId9"/>
      <w:footerReference w:type="default" r:id="rId10"/>
      <w:pgSz w:w="11906" w:h="16838"/>
      <w:pgMar w:top="1418" w:right="907" w:bottom="1418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D0" w:rsidRDefault="009C69D0">
      <w:r>
        <w:separator/>
      </w:r>
    </w:p>
  </w:endnote>
  <w:endnote w:type="continuationSeparator" w:id="0">
    <w:p w:rsidR="009C69D0" w:rsidRDefault="009C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C" w:rsidRDefault="001A7B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2078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2078C" w:rsidRDefault="00C207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C" w:rsidRDefault="001A7B53" w:rsidP="00D740AD">
    <w:pPr>
      <w:pStyle w:val="Podnoje"/>
      <w:framePr w:wrap="around" w:vAnchor="text" w:hAnchor="page" w:x="11101" w:y="-96"/>
      <w:rPr>
        <w:rStyle w:val="Brojstranice"/>
        <w:rFonts w:ascii="Arial" w:hAnsi="Arial" w:cs="Arial"/>
        <w:sz w:val="20"/>
      </w:rPr>
    </w:pPr>
    <w:r>
      <w:rPr>
        <w:rStyle w:val="Brojstranice"/>
        <w:rFonts w:ascii="Arial" w:hAnsi="Arial" w:cs="Arial"/>
        <w:sz w:val="20"/>
      </w:rPr>
      <w:fldChar w:fldCharType="begin"/>
    </w:r>
    <w:r w:rsidR="00C2078C">
      <w:rPr>
        <w:rStyle w:val="Brojstranice"/>
        <w:rFonts w:ascii="Arial" w:hAnsi="Arial" w:cs="Arial"/>
        <w:sz w:val="20"/>
      </w:rPr>
      <w:instrText xml:space="preserve">PAGE  </w:instrText>
    </w:r>
    <w:r>
      <w:rPr>
        <w:rStyle w:val="Brojstranice"/>
        <w:rFonts w:ascii="Arial" w:hAnsi="Arial" w:cs="Arial"/>
        <w:sz w:val="20"/>
      </w:rPr>
      <w:fldChar w:fldCharType="separate"/>
    </w:r>
    <w:r w:rsidR="006B73D1">
      <w:rPr>
        <w:rStyle w:val="Brojstranice"/>
        <w:rFonts w:ascii="Arial" w:hAnsi="Arial" w:cs="Arial"/>
        <w:noProof/>
        <w:sz w:val="20"/>
      </w:rPr>
      <w:t>5</w:t>
    </w:r>
    <w:r>
      <w:rPr>
        <w:rStyle w:val="Brojstranice"/>
        <w:rFonts w:ascii="Arial" w:hAnsi="Arial" w:cs="Arial"/>
        <w:sz w:val="20"/>
      </w:rPr>
      <w:fldChar w:fldCharType="end"/>
    </w:r>
  </w:p>
  <w:p w:rsidR="00C2078C" w:rsidRDefault="00C2078C" w:rsidP="00D740AD">
    <w:pPr>
      <w:pStyle w:val="Podnoje"/>
      <w:ind w:right="360"/>
      <w:jc w:val="center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D0" w:rsidRDefault="009C69D0">
      <w:r>
        <w:separator/>
      </w:r>
    </w:p>
  </w:footnote>
  <w:footnote w:type="continuationSeparator" w:id="0">
    <w:p w:rsidR="009C69D0" w:rsidRDefault="009C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C" w:rsidRDefault="00C2078C">
    <w:pPr>
      <w:pStyle w:val="Zaglavlje"/>
      <w:jc w:val="center"/>
      <w:rPr>
        <w:rFonts w:ascii="Arial" w:hAnsi="Arial" w:cs="Arial"/>
        <w:b/>
        <w:bCs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7E8"/>
    <w:multiLevelType w:val="hybridMultilevel"/>
    <w:tmpl w:val="35323D3A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C2530"/>
    <w:multiLevelType w:val="hybridMultilevel"/>
    <w:tmpl w:val="A45A9914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BF4835"/>
    <w:multiLevelType w:val="hybridMultilevel"/>
    <w:tmpl w:val="B340338A"/>
    <w:lvl w:ilvl="0" w:tplc="2020DB3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571A4"/>
    <w:multiLevelType w:val="hybridMultilevel"/>
    <w:tmpl w:val="9CF04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11E"/>
    <w:multiLevelType w:val="hybridMultilevel"/>
    <w:tmpl w:val="B0A64510"/>
    <w:lvl w:ilvl="0" w:tplc="3EA48F2A">
      <w:start w:val="1"/>
      <w:numFmt w:val="bullet"/>
      <w:lvlText w:val="-"/>
      <w:lvlJc w:val="left"/>
      <w:pPr>
        <w:tabs>
          <w:tab w:val="num" w:pos="1530"/>
        </w:tabs>
        <w:ind w:left="153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9615C"/>
    <w:multiLevelType w:val="hybridMultilevel"/>
    <w:tmpl w:val="86BC6498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C49ED"/>
    <w:multiLevelType w:val="multilevel"/>
    <w:tmpl w:val="B340338A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F0C55"/>
    <w:multiLevelType w:val="hybridMultilevel"/>
    <w:tmpl w:val="8028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6A04"/>
    <w:multiLevelType w:val="hybridMultilevel"/>
    <w:tmpl w:val="C5E0B38C"/>
    <w:lvl w:ilvl="0" w:tplc="9C74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310114"/>
    <w:multiLevelType w:val="hybridMultilevel"/>
    <w:tmpl w:val="FCFE2FAA"/>
    <w:lvl w:ilvl="0" w:tplc="8B163CB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E09E8"/>
    <w:multiLevelType w:val="hybridMultilevel"/>
    <w:tmpl w:val="67BC09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699F"/>
    <w:multiLevelType w:val="hybridMultilevel"/>
    <w:tmpl w:val="9DFEBDD4"/>
    <w:lvl w:ilvl="0" w:tplc="3EA48F2A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F7A62"/>
    <w:multiLevelType w:val="hybridMultilevel"/>
    <w:tmpl w:val="255C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7A"/>
    <w:rsid w:val="00004C05"/>
    <w:rsid w:val="00010301"/>
    <w:rsid w:val="00011BA5"/>
    <w:rsid w:val="000157F8"/>
    <w:rsid w:val="000167D2"/>
    <w:rsid w:val="00052396"/>
    <w:rsid w:val="0007057F"/>
    <w:rsid w:val="00083124"/>
    <w:rsid w:val="00087106"/>
    <w:rsid w:val="00092CA9"/>
    <w:rsid w:val="000A515D"/>
    <w:rsid w:val="000A686D"/>
    <w:rsid w:val="000B08E0"/>
    <w:rsid w:val="000C0793"/>
    <w:rsid w:val="000F6830"/>
    <w:rsid w:val="00127062"/>
    <w:rsid w:val="00135C28"/>
    <w:rsid w:val="00155900"/>
    <w:rsid w:val="001616F4"/>
    <w:rsid w:val="001753AB"/>
    <w:rsid w:val="001A7B53"/>
    <w:rsid w:val="001D32FD"/>
    <w:rsid w:val="001F3522"/>
    <w:rsid w:val="001F5A2A"/>
    <w:rsid w:val="0023473E"/>
    <w:rsid w:val="002664FE"/>
    <w:rsid w:val="00290337"/>
    <w:rsid w:val="00296975"/>
    <w:rsid w:val="002B456A"/>
    <w:rsid w:val="002C3657"/>
    <w:rsid w:val="002E2CB6"/>
    <w:rsid w:val="002E60EC"/>
    <w:rsid w:val="002F304E"/>
    <w:rsid w:val="00312EFE"/>
    <w:rsid w:val="00321D2A"/>
    <w:rsid w:val="003313DE"/>
    <w:rsid w:val="0033201F"/>
    <w:rsid w:val="00335920"/>
    <w:rsid w:val="00345377"/>
    <w:rsid w:val="00353EAD"/>
    <w:rsid w:val="003571F8"/>
    <w:rsid w:val="00376EC5"/>
    <w:rsid w:val="003A53D9"/>
    <w:rsid w:val="003C35D2"/>
    <w:rsid w:val="003E18A3"/>
    <w:rsid w:val="003F395B"/>
    <w:rsid w:val="0040197A"/>
    <w:rsid w:val="00413FAF"/>
    <w:rsid w:val="00421226"/>
    <w:rsid w:val="00440B09"/>
    <w:rsid w:val="00445BDD"/>
    <w:rsid w:val="00457BA4"/>
    <w:rsid w:val="00461A26"/>
    <w:rsid w:val="00461F3D"/>
    <w:rsid w:val="004903D6"/>
    <w:rsid w:val="0049265F"/>
    <w:rsid w:val="004B0856"/>
    <w:rsid w:val="004D3485"/>
    <w:rsid w:val="004F2B83"/>
    <w:rsid w:val="004F32FD"/>
    <w:rsid w:val="004F6514"/>
    <w:rsid w:val="004F7656"/>
    <w:rsid w:val="00504707"/>
    <w:rsid w:val="005278F6"/>
    <w:rsid w:val="005307C6"/>
    <w:rsid w:val="00535850"/>
    <w:rsid w:val="0055227F"/>
    <w:rsid w:val="00575A3B"/>
    <w:rsid w:val="005805A3"/>
    <w:rsid w:val="00585317"/>
    <w:rsid w:val="005863F1"/>
    <w:rsid w:val="0059355A"/>
    <w:rsid w:val="005A24C5"/>
    <w:rsid w:val="005A334B"/>
    <w:rsid w:val="005B729C"/>
    <w:rsid w:val="005C6B0D"/>
    <w:rsid w:val="005D33FD"/>
    <w:rsid w:val="005E43C2"/>
    <w:rsid w:val="005E65D6"/>
    <w:rsid w:val="005F0E80"/>
    <w:rsid w:val="00604305"/>
    <w:rsid w:val="00612DF7"/>
    <w:rsid w:val="00647E10"/>
    <w:rsid w:val="006649AC"/>
    <w:rsid w:val="00673F78"/>
    <w:rsid w:val="00674C18"/>
    <w:rsid w:val="006868ED"/>
    <w:rsid w:val="006A39F8"/>
    <w:rsid w:val="006B73D1"/>
    <w:rsid w:val="006C7066"/>
    <w:rsid w:val="006C76FE"/>
    <w:rsid w:val="006F0BAB"/>
    <w:rsid w:val="00700A32"/>
    <w:rsid w:val="007046A0"/>
    <w:rsid w:val="00711B10"/>
    <w:rsid w:val="007338CC"/>
    <w:rsid w:val="00737612"/>
    <w:rsid w:val="0074139F"/>
    <w:rsid w:val="00765419"/>
    <w:rsid w:val="00767D41"/>
    <w:rsid w:val="007B1320"/>
    <w:rsid w:val="007C53F4"/>
    <w:rsid w:val="007D108A"/>
    <w:rsid w:val="007D144D"/>
    <w:rsid w:val="007D1A56"/>
    <w:rsid w:val="007D1E82"/>
    <w:rsid w:val="007E32AE"/>
    <w:rsid w:val="00801986"/>
    <w:rsid w:val="00804E50"/>
    <w:rsid w:val="008467A3"/>
    <w:rsid w:val="00854016"/>
    <w:rsid w:val="00871EC4"/>
    <w:rsid w:val="0087518A"/>
    <w:rsid w:val="008A2468"/>
    <w:rsid w:val="008E4C49"/>
    <w:rsid w:val="008F2DC9"/>
    <w:rsid w:val="0090196A"/>
    <w:rsid w:val="00916892"/>
    <w:rsid w:val="00924490"/>
    <w:rsid w:val="00954B34"/>
    <w:rsid w:val="009A3A48"/>
    <w:rsid w:val="009B78FD"/>
    <w:rsid w:val="009C69D0"/>
    <w:rsid w:val="009D4FB8"/>
    <w:rsid w:val="009E3210"/>
    <w:rsid w:val="009E5333"/>
    <w:rsid w:val="00A00A91"/>
    <w:rsid w:val="00A020D4"/>
    <w:rsid w:val="00A13362"/>
    <w:rsid w:val="00A162AD"/>
    <w:rsid w:val="00A27929"/>
    <w:rsid w:val="00A57C62"/>
    <w:rsid w:val="00A632F8"/>
    <w:rsid w:val="00A72ECC"/>
    <w:rsid w:val="00A73400"/>
    <w:rsid w:val="00A85878"/>
    <w:rsid w:val="00A95417"/>
    <w:rsid w:val="00A977B2"/>
    <w:rsid w:val="00AA164B"/>
    <w:rsid w:val="00AC0DE7"/>
    <w:rsid w:val="00AC491A"/>
    <w:rsid w:val="00AE226D"/>
    <w:rsid w:val="00AE7ACE"/>
    <w:rsid w:val="00B1508C"/>
    <w:rsid w:val="00B26BCA"/>
    <w:rsid w:val="00B60C2C"/>
    <w:rsid w:val="00B86BF2"/>
    <w:rsid w:val="00B903F0"/>
    <w:rsid w:val="00BA029A"/>
    <w:rsid w:val="00BB3D5F"/>
    <w:rsid w:val="00BE1D0B"/>
    <w:rsid w:val="00BF52AD"/>
    <w:rsid w:val="00C156F0"/>
    <w:rsid w:val="00C2078C"/>
    <w:rsid w:val="00C41C0C"/>
    <w:rsid w:val="00C76D89"/>
    <w:rsid w:val="00C81393"/>
    <w:rsid w:val="00C87CDD"/>
    <w:rsid w:val="00C90295"/>
    <w:rsid w:val="00C94334"/>
    <w:rsid w:val="00C95652"/>
    <w:rsid w:val="00CB0B9F"/>
    <w:rsid w:val="00CB4B2E"/>
    <w:rsid w:val="00CC622A"/>
    <w:rsid w:val="00D026A3"/>
    <w:rsid w:val="00D056A6"/>
    <w:rsid w:val="00D061E1"/>
    <w:rsid w:val="00D11843"/>
    <w:rsid w:val="00D161BB"/>
    <w:rsid w:val="00D32A38"/>
    <w:rsid w:val="00D569FD"/>
    <w:rsid w:val="00D57260"/>
    <w:rsid w:val="00D63031"/>
    <w:rsid w:val="00D70DAE"/>
    <w:rsid w:val="00D740AD"/>
    <w:rsid w:val="00D8523F"/>
    <w:rsid w:val="00D87353"/>
    <w:rsid w:val="00DA596F"/>
    <w:rsid w:val="00DB77E8"/>
    <w:rsid w:val="00DC567E"/>
    <w:rsid w:val="00DE4253"/>
    <w:rsid w:val="00E1219D"/>
    <w:rsid w:val="00E33D84"/>
    <w:rsid w:val="00E54F74"/>
    <w:rsid w:val="00E62F85"/>
    <w:rsid w:val="00E719ED"/>
    <w:rsid w:val="00E77914"/>
    <w:rsid w:val="00E8451D"/>
    <w:rsid w:val="00E84982"/>
    <w:rsid w:val="00E97B1A"/>
    <w:rsid w:val="00EA7E9B"/>
    <w:rsid w:val="00EB1FF8"/>
    <w:rsid w:val="00EC05CA"/>
    <w:rsid w:val="00EC4123"/>
    <w:rsid w:val="00EC7A62"/>
    <w:rsid w:val="00ED208E"/>
    <w:rsid w:val="00F108DB"/>
    <w:rsid w:val="00F27D5E"/>
    <w:rsid w:val="00F72153"/>
    <w:rsid w:val="00F8023C"/>
    <w:rsid w:val="00F86858"/>
    <w:rsid w:val="00F90EBF"/>
    <w:rsid w:val="00F93420"/>
    <w:rsid w:val="00FA01E3"/>
    <w:rsid w:val="00FB4E46"/>
    <w:rsid w:val="00FB689C"/>
    <w:rsid w:val="00FE2315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9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A7E9B"/>
    <w:pPr>
      <w:keepNext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Naslov2">
    <w:name w:val="heading 2"/>
    <w:basedOn w:val="Normal"/>
    <w:next w:val="Normal"/>
    <w:qFormat/>
    <w:rsid w:val="00EA7E9B"/>
    <w:pPr>
      <w:keepNext/>
      <w:jc w:val="center"/>
      <w:outlineLvl w:val="1"/>
    </w:pPr>
    <w:rPr>
      <w:rFonts w:ascii="Arial" w:hAnsi="Arial" w:cs="Arial"/>
      <w:b/>
      <w:shadow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9E5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A7E9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A7E9B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rsid w:val="00EA7E9B"/>
    <w:pPr>
      <w:jc w:val="both"/>
    </w:pPr>
    <w:rPr>
      <w:rFonts w:ascii="Arial" w:hAnsi="Arial" w:cs="Arial"/>
    </w:rPr>
  </w:style>
  <w:style w:type="character" w:styleId="Brojstranice">
    <w:name w:val="page number"/>
    <w:basedOn w:val="Zadanifontodlomka"/>
    <w:rsid w:val="00EA7E9B"/>
  </w:style>
  <w:style w:type="paragraph" w:styleId="Tekstbalonia">
    <w:name w:val="Balloon Text"/>
    <w:basedOn w:val="Normal"/>
    <w:semiHidden/>
    <w:rsid w:val="0040197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5333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ColorfulShading-Accent61">
    <w:name w:val="Colorful Shading - Accent 61"/>
    <w:basedOn w:val="Obinatablica"/>
    <w:uiPriority w:val="71"/>
    <w:rsid w:val="0001030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Naslov1Char">
    <w:name w:val="Naslov 1 Char"/>
    <w:basedOn w:val="Zadanifontodlomka"/>
    <w:link w:val="Naslov1"/>
    <w:rsid w:val="00700A32"/>
    <w:rPr>
      <w:rFonts w:ascii="Arial" w:hAnsi="Arial" w:cs="Arial"/>
      <w:b/>
      <w:sz w:val="36"/>
      <w:szCs w:val="36"/>
    </w:rPr>
  </w:style>
  <w:style w:type="character" w:customStyle="1" w:styleId="TijelotekstaChar">
    <w:name w:val="Tijelo teksta Char"/>
    <w:basedOn w:val="Zadanifontodlomka"/>
    <w:link w:val="Tijeloteksta"/>
    <w:rsid w:val="00700A32"/>
    <w:rPr>
      <w:rFonts w:ascii="Arial" w:hAnsi="Arial" w:cs="Arial"/>
      <w:sz w:val="24"/>
      <w:szCs w:val="24"/>
    </w:rPr>
  </w:style>
  <w:style w:type="paragraph" w:styleId="Odlomakpopisa">
    <w:name w:val="List Paragraph"/>
    <w:basedOn w:val="Normal"/>
    <w:uiPriority w:val="34"/>
    <w:qFormat/>
    <w:rsid w:val="0041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6A25D-5FE2-45A7-B314-CA5BDE38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GIS</dc:creator>
  <cp:lastModifiedBy>Vesna</cp:lastModifiedBy>
  <cp:revision>4</cp:revision>
  <cp:lastPrinted>2014-11-25T11:20:00Z</cp:lastPrinted>
  <dcterms:created xsi:type="dcterms:W3CDTF">2014-11-25T06:37:00Z</dcterms:created>
  <dcterms:modified xsi:type="dcterms:W3CDTF">2014-11-25T11:25:00Z</dcterms:modified>
</cp:coreProperties>
</file>